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tblCellSpacing w:w="0" w:type="dxa"/>
        <w:tblCellMar>
          <w:left w:w="0" w:type="dxa"/>
          <w:right w:w="0" w:type="dxa"/>
        </w:tblCellMar>
        <w:tblLook w:val="04A0" w:firstRow="1" w:lastRow="0" w:firstColumn="1" w:lastColumn="0" w:noHBand="0" w:noVBand="1"/>
      </w:tblPr>
      <w:tblGrid>
        <w:gridCol w:w="2864"/>
        <w:gridCol w:w="6646"/>
      </w:tblGrid>
      <w:tr w:rsidR="00BA7ECA" w:rsidTr="00BA7ECA">
        <w:trPr>
          <w:tblCellSpacing w:w="0" w:type="dxa"/>
        </w:trPr>
        <w:tc>
          <w:tcPr>
            <w:tcW w:w="0" w:type="auto"/>
            <w:gridSpan w:val="2"/>
            <w:tcMar>
              <w:top w:w="75" w:type="dxa"/>
              <w:left w:w="75" w:type="dxa"/>
              <w:bottom w:w="75" w:type="dxa"/>
              <w:right w:w="75" w:type="dxa"/>
            </w:tcMar>
            <w:hideMark/>
          </w:tcPr>
          <w:p w:rsidR="00BA7ECA" w:rsidRDefault="00BA7ECA">
            <w:r>
              <w:rPr>
                <w:noProof/>
              </w:rPr>
              <w:drawing>
                <wp:inline distT="0" distB="0" distL="0" distR="0">
                  <wp:extent cx="6154420" cy="1169035"/>
                  <wp:effectExtent l="0" t="0" r="0" b="0"/>
                  <wp:docPr id="6" name="Picture 6" descr="http://www.MOTHERBOARDTESTS.INFO/alpine/a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THERBOARDTESTS.INFO/alpine/af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4420" cy="1169035"/>
                          </a:xfrm>
                          <a:prstGeom prst="rect">
                            <a:avLst/>
                          </a:prstGeom>
                          <a:noFill/>
                          <a:ln>
                            <a:noFill/>
                          </a:ln>
                        </pic:spPr>
                      </pic:pic>
                    </a:graphicData>
                  </a:graphic>
                </wp:inline>
              </w:drawing>
            </w:r>
          </w:p>
        </w:tc>
      </w:tr>
      <w:tr w:rsidR="00BA7ECA" w:rsidTr="00BA7ECA">
        <w:trPr>
          <w:tblCellSpacing w:w="0" w:type="dxa"/>
        </w:trPr>
        <w:tc>
          <w:tcPr>
            <w:tcW w:w="1500" w:type="pct"/>
            <w:shd w:val="clear" w:color="auto" w:fill="D2E7EC"/>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2714"/>
            </w:tblGrid>
            <w:tr w:rsidR="00BA7ECA">
              <w:trPr>
                <w:tblCellSpacing w:w="0" w:type="dxa"/>
              </w:trPr>
              <w:tc>
                <w:tcPr>
                  <w:tcW w:w="0" w:type="auto"/>
                  <w:shd w:val="clear" w:color="auto" w:fill="037C97"/>
                  <w:tcMar>
                    <w:top w:w="75" w:type="dxa"/>
                    <w:left w:w="75" w:type="dxa"/>
                    <w:bottom w:w="75" w:type="dxa"/>
                    <w:right w:w="75" w:type="dxa"/>
                  </w:tcMar>
                  <w:vAlign w:val="center"/>
                  <w:hideMark/>
                </w:tcPr>
                <w:p w:rsidR="00BA7ECA" w:rsidRDefault="00BA7ECA">
                  <w:r>
                    <w:rPr>
                      <w:rStyle w:val="Strong"/>
                      <w:rFonts w:ascii="Arial" w:hAnsi="Arial" w:cs="Arial"/>
                      <w:color w:val="FFFFFF"/>
                      <w:sz w:val="20"/>
                      <w:szCs w:val="20"/>
                    </w:rPr>
                    <w:t>Upcoming Courses in December:</w:t>
                  </w:r>
                </w:p>
              </w:tc>
            </w:tr>
            <w:tr w:rsidR="00BA7ECA">
              <w:trPr>
                <w:tblCellSpacing w:w="0" w:type="dxa"/>
              </w:trPr>
              <w:tc>
                <w:tcPr>
                  <w:tcW w:w="0" w:type="auto"/>
                  <w:tcMar>
                    <w:top w:w="75" w:type="dxa"/>
                    <w:left w:w="75" w:type="dxa"/>
                    <w:bottom w:w="75" w:type="dxa"/>
                    <w:right w:w="75" w:type="dxa"/>
                  </w:tcMar>
                  <w:hideMark/>
                </w:tcPr>
                <w:p w:rsidR="00BA7ECA" w:rsidRDefault="00BA7ECA">
                  <w:r>
                    <w:rPr>
                      <w:rFonts w:ascii="Tahoma" w:hAnsi="Tahoma" w:cs="Tahoma"/>
                      <w:sz w:val="20"/>
                      <w:szCs w:val="20"/>
                    </w:rPr>
                    <w:t xml:space="preserve">Management Accounting &amp; Budgeting Skills </w:t>
                  </w:r>
                  <w:r>
                    <w:rPr>
                      <w:rFonts w:ascii="Tahoma" w:hAnsi="Tahoma" w:cs="Tahoma"/>
                      <w:sz w:val="20"/>
                      <w:szCs w:val="20"/>
                    </w:rPr>
                    <w:br/>
                  </w:r>
                  <w:r>
                    <w:rPr>
                      <w:rFonts w:ascii="Tahoma" w:hAnsi="Tahoma" w:cs="Tahoma" w:hint="cs"/>
                      <w:sz w:val="20"/>
                      <w:szCs w:val="20"/>
                      <w:rtl/>
                    </w:rPr>
                    <w:t>المحاسبة الادارية واعداد الموازنات السنوية</w:t>
                  </w:r>
                  <w:r>
                    <w:rPr>
                      <w:rFonts w:ascii="Tahoma" w:hAnsi="Tahoma" w:cs="Tahoma"/>
                      <w:sz w:val="20"/>
                      <w:szCs w:val="20"/>
                    </w:rPr>
                    <w:br/>
                    <w:t>Cairo December 9 - 13, 2012</w:t>
                  </w:r>
                  <w:r>
                    <w:t xml:space="preserve"> </w:t>
                  </w:r>
                </w:p>
                <w:tbl>
                  <w:tblPr>
                    <w:tblW w:w="750" w:type="dxa"/>
                    <w:tblCellSpacing w:w="15" w:type="dxa"/>
                    <w:tblCellMar>
                      <w:left w:w="0" w:type="dxa"/>
                      <w:right w:w="0" w:type="dxa"/>
                    </w:tblCellMar>
                    <w:tblLook w:val="04A0" w:firstRow="1" w:lastRow="0" w:firstColumn="1" w:lastColumn="0" w:noHBand="0" w:noVBand="1"/>
                  </w:tblPr>
                  <w:tblGrid>
                    <w:gridCol w:w="750"/>
                  </w:tblGrid>
                  <w:tr w:rsidR="00BA7ECA">
                    <w:trPr>
                      <w:tblCellSpacing w:w="15" w:type="dxa"/>
                    </w:trPr>
                    <w:tc>
                      <w:tcPr>
                        <w:tcW w:w="0" w:type="auto"/>
                        <w:tcMar>
                          <w:top w:w="15" w:type="dxa"/>
                          <w:left w:w="15" w:type="dxa"/>
                          <w:bottom w:w="15" w:type="dxa"/>
                          <w:right w:w="15" w:type="dxa"/>
                        </w:tcMar>
                        <w:vAlign w:val="center"/>
                        <w:hideMark/>
                      </w:tcPr>
                      <w:p w:rsidR="00BA7ECA" w:rsidRDefault="00BA7ECA">
                        <w:hyperlink r:id="rId7" w:history="1">
                          <w:r>
                            <w:rPr>
                              <w:rStyle w:val="Hyperlink"/>
                              <w:rFonts w:ascii="Tahoma" w:hAnsi="Tahoma" w:cs="Tahoma"/>
                              <w:sz w:val="20"/>
                              <w:szCs w:val="20"/>
                            </w:rPr>
                            <w:t>Details</w:t>
                          </w:r>
                        </w:hyperlink>
                      </w:p>
                    </w:tc>
                  </w:tr>
                </w:tbl>
                <w:p w:rsidR="00BA7ECA" w:rsidRDefault="00BA7ECA">
                  <w:pPr>
                    <w:jc w:val="center"/>
                    <w:rPr>
                      <w:rFonts w:eastAsia="Times New Roman"/>
                    </w:rPr>
                  </w:pPr>
                  <w:r>
                    <w:rPr>
                      <w:rFonts w:eastAsia="Times New Roman"/>
                    </w:rPr>
                    <w:pict>
                      <v:rect id="_x0000_i1025" style="width:22in;height:1.5pt" o:hralign="center" o:hrstd="t" o:hr="t" fillcolor="#a0a0a0" stroked="f"/>
                    </w:pict>
                  </w:r>
                </w:p>
                <w:p w:rsidR="00BA7ECA" w:rsidRDefault="00BA7ECA">
                  <w:r>
                    <w:rPr>
                      <w:rFonts w:ascii="Tahoma" w:hAnsi="Tahoma" w:cs="Tahoma"/>
                      <w:sz w:val="20"/>
                      <w:szCs w:val="20"/>
                    </w:rPr>
                    <w:t xml:space="preserve">Construction Contracts FIDIC </w:t>
                  </w:r>
                  <w:r>
                    <w:rPr>
                      <w:rFonts w:ascii="Tahoma" w:hAnsi="Tahoma" w:cs="Tahoma"/>
                      <w:sz w:val="20"/>
                      <w:szCs w:val="20"/>
                    </w:rPr>
                    <w:br/>
                  </w:r>
                  <w:r>
                    <w:rPr>
                      <w:rFonts w:ascii="Tahoma" w:hAnsi="Tahoma" w:cs="Tahoma" w:hint="cs"/>
                      <w:sz w:val="20"/>
                      <w:szCs w:val="20"/>
                      <w:rtl/>
                    </w:rPr>
                    <w:t xml:space="preserve">العقود الانشائية </w:t>
                  </w:r>
                  <w:r>
                    <w:rPr>
                      <w:rFonts w:ascii="Tahoma" w:hAnsi="Tahoma" w:cs="Tahoma"/>
                      <w:sz w:val="20"/>
                      <w:szCs w:val="20"/>
                    </w:rPr>
                    <w:t xml:space="preserve">- </w:t>
                  </w:r>
                  <w:r>
                    <w:rPr>
                      <w:rFonts w:ascii="Tahoma" w:hAnsi="Tahoma" w:cs="Tahoma" w:hint="cs"/>
                      <w:sz w:val="20"/>
                      <w:szCs w:val="20"/>
                      <w:rtl/>
                    </w:rPr>
                    <w:t xml:space="preserve">الفيديك </w:t>
                  </w:r>
                  <w:r>
                    <w:rPr>
                      <w:rFonts w:ascii="Tahoma" w:hAnsi="Tahoma" w:cs="Tahoma"/>
                      <w:sz w:val="20"/>
                      <w:szCs w:val="20"/>
                    </w:rPr>
                    <w:br/>
                    <w:t xml:space="preserve">Cairo - December 16 - 20, 2012 </w:t>
                  </w:r>
                </w:p>
                <w:tbl>
                  <w:tblPr>
                    <w:tblW w:w="750" w:type="dxa"/>
                    <w:tblCellSpacing w:w="15" w:type="dxa"/>
                    <w:tblCellMar>
                      <w:left w:w="0" w:type="dxa"/>
                      <w:right w:w="0" w:type="dxa"/>
                    </w:tblCellMar>
                    <w:tblLook w:val="04A0" w:firstRow="1" w:lastRow="0" w:firstColumn="1" w:lastColumn="0" w:noHBand="0" w:noVBand="1"/>
                  </w:tblPr>
                  <w:tblGrid>
                    <w:gridCol w:w="750"/>
                  </w:tblGrid>
                  <w:tr w:rsidR="00BA7ECA">
                    <w:trPr>
                      <w:tblCellSpacing w:w="15" w:type="dxa"/>
                    </w:trPr>
                    <w:tc>
                      <w:tcPr>
                        <w:tcW w:w="0" w:type="auto"/>
                        <w:tcMar>
                          <w:top w:w="15" w:type="dxa"/>
                          <w:left w:w="15" w:type="dxa"/>
                          <w:bottom w:w="15" w:type="dxa"/>
                          <w:right w:w="15" w:type="dxa"/>
                        </w:tcMar>
                        <w:vAlign w:val="center"/>
                        <w:hideMark/>
                      </w:tcPr>
                      <w:p w:rsidR="00BA7ECA" w:rsidRDefault="00BA7ECA">
                        <w:hyperlink r:id="rId8" w:history="1">
                          <w:r>
                            <w:rPr>
                              <w:rStyle w:val="Hyperlink"/>
                              <w:rFonts w:ascii="Tahoma" w:hAnsi="Tahoma" w:cs="Tahoma"/>
                              <w:sz w:val="20"/>
                              <w:szCs w:val="20"/>
                            </w:rPr>
                            <w:t>Details</w:t>
                          </w:r>
                        </w:hyperlink>
                      </w:p>
                    </w:tc>
                  </w:tr>
                </w:tbl>
                <w:p w:rsidR="00BA7ECA" w:rsidRDefault="00BA7ECA">
                  <w:pPr>
                    <w:jc w:val="center"/>
                    <w:rPr>
                      <w:rFonts w:eastAsia="Times New Roman"/>
                    </w:rPr>
                  </w:pPr>
                  <w:r>
                    <w:rPr>
                      <w:rFonts w:eastAsia="Times New Roman"/>
                    </w:rPr>
                    <w:pict>
                      <v:rect id="_x0000_i1026" style="width:22in;height:1.5pt" o:hralign="center" o:hrstd="t" o:hr="t" fillcolor="#a0a0a0" stroked="f"/>
                    </w:pict>
                  </w:r>
                </w:p>
                <w:p w:rsidR="00BA7ECA" w:rsidRDefault="00BA7ECA">
                  <w:r>
                    <w:rPr>
                      <w:rFonts w:ascii="Tahoma" w:hAnsi="Tahoma" w:cs="Tahoma"/>
                      <w:sz w:val="20"/>
                      <w:szCs w:val="20"/>
                    </w:rPr>
                    <w:t xml:space="preserve">Introduction to Lean Production and Six Sigma </w:t>
                  </w:r>
                  <w:r>
                    <w:rPr>
                      <w:rFonts w:ascii="Tahoma" w:hAnsi="Tahoma" w:cs="Tahoma"/>
                      <w:sz w:val="20"/>
                      <w:szCs w:val="20"/>
                    </w:rPr>
                    <w:br/>
                  </w:r>
                  <w:r>
                    <w:rPr>
                      <w:rFonts w:ascii="Tahoma" w:hAnsi="Tahoma" w:cs="Tahoma" w:hint="cs"/>
                      <w:sz w:val="20"/>
                      <w:szCs w:val="20"/>
                      <w:rtl/>
                    </w:rPr>
                    <w:t>مقدمة في الإنتاج الإنسيابي والـ</w:t>
                  </w:r>
                  <w:r>
                    <w:rPr>
                      <w:rFonts w:ascii="Tahoma" w:hAnsi="Tahoma" w:cs="Tahoma"/>
                      <w:sz w:val="20"/>
                      <w:szCs w:val="20"/>
                    </w:rPr>
                    <w:t xml:space="preserve">6 </w:t>
                  </w:r>
                  <w:r>
                    <w:rPr>
                      <w:rFonts w:ascii="Tahoma" w:hAnsi="Tahoma" w:cs="Tahoma" w:hint="cs"/>
                      <w:sz w:val="20"/>
                      <w:szCs w:val="20"/>
                      <w:rtl/>
                    </w:rPr>
                    <w:t>سيجما</w:t>
                  </w:r>
                  <w:r>
                    <w:rPr>
                      <w:rFonts w:ascii="Tahoma" w:hAnsi="Tahoma" w:cs="Tahoma"/>
                      <w:sz w:val="20"/>
                      <w:szCs w:val="20"/>
                    </w:rPr>
                    <w:br/>
                    <w:t xml:space="preserve">Cairo December 16 - 20, 2012 </w:t>
                  </w:r>
                </w:p>
                <w:tbl>
                  <w:tblPr>
                    <w:tblW w:w="750" w:type="dxa"/>
                    <w:tblCellSpacing w:w="15" w:type="dxa"/>
                    <w:tblCellMar>
                      <w:left w:w="0" w:type="dxa"/>
                      <w:right w:w="0" w:type="dxa"/>
                    </w:tblCellMar>
                    <w:tblLook w:val="04A0" w:firstRow="1" w:lastRow="0" w:firstColumn="1" w:lastColumn="0" w:noHBand="0" w:noVBand="1"/>
                  </w:tblPr>
                  <w:tblGrid>
                    <w:gridCol w:w="750"/>
                  </w:tblGrid>
                  <w:tr w:rsidR="00BA7ECA">
                    <w:trPr>
                      <w:tblCellSpacing w:w="15" w:type="dxa"/>
                    </w:trPr>
                    <w:tc>
                      <w:tcPr>
                        <w:tcW w:w="0" w:type="auto"/>
                        <w:tcMar>
                          <w:top w:w="15" w:type="dxa"/>
                          <w:left w:w="15" w:type="dxa"/>
                          <w:bottom w:w="15" w:type="dxa"/>
                          <w:right w:w="15" w:type="dxa"/>
                        </w:tcMar>
                        <w:vAlign w:val="center"/>
                        <w:hideMark/>
                      </w:tcPr>
                      <w:p w:rsidR="00BA7ECA" w:rsidRDefault="00BA7ECA">
                        <w:hyperlink r:id="rId9" w:history="1">
                          <w:r>
                            <w:rPr>
                              <w:rStyle w:val="Hyperlink"/>
                              <w:rFonts w:ascii="Tahoma" w:hAnsi="Tahoma" w:cs="Tahoma"/>
                              <w:sz w:val="20"/>
                              <w:szCs w:val="20"/>
                            </w:rPr>
                            <w:t>Details</w:t>
                          </w:r>
                        </w:hyperlink>
                      </w:p>
                    </w:tc>
                  </w:tr>
                </w:tbl>
                <w:p w:rsidR="00BA7ECA" w:rsidRDefault="00BA7ECA">
                  <w:pPr>
                    <w:jc w:val="center"/>
                    <w:rPr>
                      <w:rFonts w:eastAsia="Times New Roman"/>
                    </w:rPr>
                  </w:pPr>
                  <w:r>
                    <w:rPr>
                      <w:rFonts w:eastAsia="Times New Roman"/>
                    </w:rPr>
                    <w:pict>
                      <v:rect id="_x0000_i1027" style="width:22in;height:1.5pt" o:hralign="center" o:hrstd="t" o:hr="t" fillcolor="#a0a0a0" stroked="f"/>
                    </w:pict>
                  </w:r>
                </w:p>
                <w:p w:rsidR="00BA7ECA" w:rsidRDefault="00BA7ECA">
                  <w:r>
                    <w:rPr>
                      <w:rFonts w:ascii="Tahoma" w:hAnsi="Tahoma" w:cs="Tahoma"/>
                      <w:sz w:val="20"/>
                      <w:szCs w:val="20"/>
                    </w:rPr>
                    <w:t xml:space="preserve">Lean Six Sigma Yellow Belt </w:t>
                  </w:r>
                  <w:r>
                    <w:rPr>
                      <w:rFonts w:ascii="Tahoma" w:hAnsi="Tahoma" w:cs="Tahoma"/>
                      <w:sz w:val="20"/>
                      <w:szCs w:val="20"/>
                    </w:rPr>
                    <w:br/>
                  </w:r>
                  <w:r>
                    <w:rPr>
                      <w:rFonts w:ascii="Tahoma" w:hAnsi="Tahoma" w:cs="Tahoma" w:hint="cs"/>
                      <w:sz w:val="20"/>
                      <w:szCs w:val="20"/>
                      <w:rtl/>
                    </w:rPr>
                    <w:t>منهجية الستة سيجما للتطوير</w:t>
                  </w:r>
                  <w:r>
                    <w:rPr>
                      <w:rFonts w:ascii="Tahoma" w:hAnsi="Tahoma" w:cs="Tahoma"/>
                      <w:sz w:val="20"/>
                      <w:szCs w:val="20"/>
                    </w:rPr>
                    <w:t>-</w:t>
                  </w:r>
                  <w:r>
                    <w:rPr>
                      <w:rFonts w:ascii="Tahoma" w:hAnsi="Tahoma" w:cs="Tahoma" w:hint="cs"/>
                      <w:sz w:val="20"/>
                      <w:szCs w:val="20"/>
                      <w:rtl/>
                    </w:rPr>
                    <w:t>الحزام الأصفر</w:t>
                  </w:r>
                  <w:r>
                    <w:rPr>
                      <w:rFonts w:ascii="Tahoma" w:hAnsi="Tahoma" w:cs="Tahoma"/>
                      <w:sz w:val="20"/>
                      <w:szCs w:val="20"/>
                    </w:rPr>
                    <w:br/>
                    <w:t xml:space="preserve">Cairo December 16 - 20, 2012 </w:t>
                  </w:r>
                </w:p>
                <w:tbl>
                  <w:tblPr>
                    <w:tblW w:w="750" w:type="dxa"/>
                    <w:tblCellSpacing w:w="15" w:type="dxa"/>
                    <w:tblCellMar>
                      <w:left w:w="0" w:type="dxa"/>
                      <w:right w:w="0" w:type="dxa"/>
                    </w:tblCellMar>
                    <w:tblLook w:val="04A0" w:firstRow="1" w:lastRow="0" w:firstColumn="1" w:lastColumn="0" w:noHBand="0" w:noVBand="1"/>
                  </w:tblPr>
                  <w:tblGrid>
                    <w:gridCol w:w="750"/>
                  </w:tblGrid>
                  <w:tr w:rsidR="00BA7ECA">
                    <w:trPr>
                      <w:tblCellSpacing w:w="15" w:type="dxa"/>
                    </w:trPr>
                    <w:tc>
                      <w:tcPr>
                        <w:tcW w:w="0" w:type="auto"/>
                        <w:tcMar>
                          <w:top w:w="15" w:type="dxa"/>
                          <w:left w:w="15" w:type="dxa"/>
                          <w:bottom w:w="15" w:type="dxa"/>
                          <w:right w:w="15" w:type="dxa"/>
                        </w:tcMar>
                        <w:vAlign w:val="center"/>
                        <w:hideMark/>
                      </w:tcPr>
                      <w:p w:rsidR="00BA7ECA" w:rsidRDefault="00BA7ECA">
                        <w:hyperlink r:id="rId10" w:history="1">
                          <w:r>
                            <w:rPr>
                              <w:rStyle w:val="Hyperlink"/>
                              <w:rFonts w:ascii="Tahoma" w:hAnsi="Tahoma" w:cs="Tahoma"/>
                              <w:sz w:val="20"/>
                              <w:szCs w:val="20"/>
                            </w:rPr>
                            <w:t>Details</w:t>
                          </w:r>
                        </w:hyperlink>
                      </w:p>
                    </w:tc>
                  </w:tr>
                </w:tbl>
                <w:p w:rsidR="00BA7ECA" w:rsidRDefault="00BA7ECA">
                  <w:pPr>
                    <w:jc w:val="center"/>
                    <w:rPr>
                      <w:rFonts w:eastAsia="Times New Roman"/>
                    </w:rPr>
                  </w:pPr>
                  <w:r>
                    <w:rPr>
                      <w:rFonts w:eastAsia="Times New Roman"/>
                    </w:rPr>
                    <w:pict>
                      <v:rect id="_x0000_i1028" style="width:22in;height:1.5pt" o:hralign="center" o:hrstd="t" o:hr="t" fillcolor="#a0a0a0" stroked="f"/>
                    </w:pict>
                  </w:r>
                </w:p>
                <w:p w:rsidR="00BA7ECA" w:rsidRDefault="00BA7ECA">
                  <w:r>
                    <w:rPr>
                      <w:rFonts w:ascii="Tahoma" w:hAnsi="Tahoma" w:cs="Tahoma"/>
                      <w:sz w:val="20"/>
                      <w:szCs w:val="20"/>
                    </w:rPr>
                    <w:t xml:space="preserve">Conflict Management and Negotiation Skills </w:t>
                  </w:r>
                  <w:r>
                    <w:rPr>
                      <w:rFonts w:ascii="Tahoma" w:hAnsi="Tahoma" w:cs="Tahoma"/>
                      <w:sz w:val="20"/>
                      <w:szCs w:val="20"/>
                    </w:rPr>
                    <w:br/>
                  </w:r>
                  <w:r>
                    <w:rPr>
                      <w:rFonts w:ascii="Tahoma" w:hAnsi="Tahoma" w:cs="Tahoma" w:hint="cs"/>
                      <w:sz w:val="20"/>
                      <w:szCs w:val="20"/>
                      <w:rtl/>
                    </w:rPr>
                    <w:t>مهارات إدارة الإشكاليات و التفاوض</w:t>
                  </w:r>
                  <w:r>
                    <w:rPr>
                      <w:rFonts w:ascii="Tahoma" w:hAnsi="Tahoma" w:cs="Tahoma"/>
                      <w:sz w:val="20"/>
                      <w:szCs w:val="20"/>
                    </w:rPr>
                    <w:br/>
                    <w:t>Cairo December 16 - 20, 2012</w:t>
                  </w:r>
                  <w:r>
                    <w:t xml:space="preserve"> </w:t>
                  </w:r>
                </w:p>
                <w:tbl>
                  <w:tblPr>
                    <w:tblW w:w="750" w:type="dxa"/>
                    <w:tblCellSpacing w:w="15" w:type="dxa"/>
                    <w:tblCellMar>
                      <w:left w:w="0" w:type="dxa"/>
                      <w:right w:w="0" w:type="dxa"/>
                    </w:tblCellMar>
                    <w:tblLook w:val="04A0" w:firstRow="1" w:lastRow="0" w:firstColumn="1" w:lastColumn="0" w:noHBand="0" w:noVBand="1"/>
                  </w:tblPr>
                  <w:tblGrid>
                    <w:gridCol w:w="750"/>
                  </w:tblGrid>
                  <w:tr w:rsidR="00BA7ECA">
                    <w:trPr>
                      <w:tblCellSpacing w:w="15" w:type="dxa"/>
                    </w:trPr>
                    <w:tc>
                      <w:tcPr>
                        <w:tcW w:w="0" w:type="auto"/>
                        <w:tcMar>
                          <w:top w:w="15" w:type="dxa"/>
                          <w:left w:w="15" w:type="dxa"/>
                          <w:bottom w:w="15" w:type="dxa"/>
                          <w:right w:w="15" w:type="dxa"/>
                        </w:tcMar>
                        <w:vAlign w:val="center"/>
                        <w:hideMark/>
                      </w:tcPr>
                      <w:p w:rsidR="00BA7ECA" w:rsidRDefault="00BA7ECA">
                        <w:hyperlink r:id="rId11" w:history="1">
                          <w:r>
                            <w:rPr>
                              <w:rStyle w:val="Hyperlink"/>
                              <w:rFonts w:ascii="Tahoma" w:hAnsi="Tahoma" w:cs="Tahoma"/>
                              <w:sz w:val="20"/>
                              <w:szCs w:val="20"/>
                            </w:rPr>
                            <w:t>Details</w:t>
                          </w:r>
                        </w:hyperlink>
                      </w:p>
                    </w:tc>
                  </w:tr>
                </w:tbl>
                <w:p w:rsidR="00BA7ECA" w:rsidRDefault="00BA7ECA">
                  <w:pPr>
                    <w:jc w:val="center"/>
                    <w:rPr>
                      <w:rFonts w:eastAsia="Times New Roman"/>
                    </w:rPr>
                  </w:pPr>
                  <w:r>
                    <w:rPr>
                      <w:rFonts w:eastAsia="Times New Roman"/>
                    </w:rPr>
                    <w:pict>
                      <v:rect id="_x0000_i1029" style="width:22in;height:1.5pt" o:hralign="center" o:hrstd="t" o:hr="t" fillcolor="#a0a0a0" stroked="f"/>
                    </w:pict>
                  </w:r>
                </w:p>
              </w:tc>
            </w:tr>
          </w:tbl>
          <w:p w:rsidR="00BA7ECA" w:rsidRDefault="00BA7ECA">
            <w:pPr>
              <w:rPr>
                <w:rFonts w:eastAsia="Times New Roman"/>
                <w:sz w:val="20"/>
                <w:szCs w:val="20"/>
              </w:rPr>
            </w:pPr>
          </w:p>
        </w:tc>
        <w:tc>
          <w:tcPr>
            <w:tcW w:w="35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6496"/>
            </w:tblGrid>
            <w:tr w:rsidR="00BA7ECA">
              <w:trPr>
                <w:tblCellSpacing w:w="0" w:type="dxa"/>
              </w:trPr>
              <w:tc>
                <w:tcPr>
                  <w:tcW w:w="0" w:type="auto"/>
                  <w:tcMar>
                    <w:top w:w="75" w:type="dxa"/>
                    <w:left w:w="75" w:type="dxa"/>
                    <w:bottom w:w="75" w:type="dxa"/>
                    <w:right w:w="75" w:type="dxa"/>
                  </w:tcMar>
                  <w:vAlign w:val="center"/>
                  <w:hideMark/>
                </w:tcPr>
                <w:p w:rsidR="00BA7ECA" w:rsidRDefault="00BA7ECA">
                  <w:pPr>
                    <w:pStyle w:val="Heading3"/>
                    <w:rPr>
                      <w:rFonts w:eastAsia="Times New Roman"/>
                    </w:rPr>
                  </w:pPr>
                  <w:bookmarkStart w:id="0" w:name="_GoBack" w:colFirst="0" w:colLast="0"/>
                  <w:r>
                    <w:rPr>
                      <w:rFonts w:ascii="Tahoma" w:eastAsia="Times New Roman" w:hAnsi="Tahoma" w:cs="Tahoma"/>
                      <w:color w:val="037C97"/>
                    </w:rPr>
                    <w:t xml:space="preserve">Advanced Financial Statement Analysis </w:t>
                  </w:r>
                  <w:r>
                    <w:rPr>
                      <w:rFonts w:ascii="Tahoma" w:eastAsia="Times New Roman" w:hAnsi="Tahoma" w:cs="Tahoma"/>
                      <w:color w:val="037C97"/>
                    </w:rPr>
                    <w:br/>
                  </w:r>
                  <w:r>
                    <w:rPr>
                      <w:rFonts w:ascii="Tahoma" w:eastAsia="Times New Roman" w:hAnsi="Tahoma" w:cs="Tahoma" w:hint="cs"/>
                      <w:color w:val="037C97"/>
                      <w:rtl/>
                    </w:rPr>
                    <w:t>الأساليب المتقدمة فى التحليل المالى</w:t>
                  </w:r>
                  <w:r>
                    <w:rPr>
                      <w:rFonts w:ascii="Tahoma" w:eastAsia="Times New Roman" w:hAnsi="Tahoma" w:cs="Tahoma"/>
                      <w:color w:val="037C97"/>
                    </w:rPr>
                    <w:br/>
                    <w:t>Cairo December 2 - 5, 2012</w:t>
                  </w:r>
                </w:p>
              </w:tc>
            </w:tr>
            <w:bookmarkEnd w:id="0"/>
            <w:tr w:rsidR="00BA7ECA">
              <w:trPr>
                <w:tblCellSpacing w:w="0" w:type="dxa"/>
              </w:trPr>
              <w:tc>
                <w:tcPr>
                  <w:tcW w:w="0" w:type="auto"/>
                  <w:tcMar>
                    <w:top w:w="75" w:type="dxa"/>
                    <w:left w:w="75" w:type="dxa"/>
                    <w:bottom w:w="75" w:type="dxa"/>
                    <w:right w:w="75" w:type="dxa"/>
                  </w:tcMar>
                  <w:vAlign w:val="center"/>
                  <w:hideMark/>
                </w:tcPr>
                <w:p w:rsidR="00BA7ECA" w:rsidRDefault="00BA7ECA">
                  <w:pPr>
                    <w:pStyle w:val="NormalWeb"/>
                  </w:pPr>
                  <w:r>
                    <w:rPr>
                      <w:rFonts w:ascii="Tahoma" w:hAnsi="Tahoma" w:cs="Tahoma"/>
                      <w:b/>
                      <w:bCs/>
                      <w:color w:val="037C97"/>
                      <w:sz w:val="20"/>
                      <w:szCs w:val="20"/>
                      <w:u w:val="single"/>
                    </w:rPr>
                    <w:br/>
                  </w:r>
                  <w:r>
                    <w:rPr>
                      <w:rStyle w:val="Strong"/>
                      <w:rFonts w:ascii="Tahoma" w:hAnsi="Tahoma" w:cs="Tahoma"/>
                      <w:color w:val="037C97"/>
                      <w:sz w:val="20"/>
                      <w:szCs w:val="20"/>
                      <w:u w:val="single"/>
                    </w:rPr>
                    <w:t>The Objective:</w:t>
                  </w:r>
                </w:p>
                <w:p w:rsidR="00BA7ECA" w:rsidRDefault="00BA7ECA">
                  <w:pPr>
                    <w:pStyle w:val="NormalWeb"/>
                  </w:pPr>
                  <w:r>
                    <w:rPr>
                      <w:rFonts w:ascii="Tahoma" w:hAnsi="Tahoma" w:cs="Tahoma"/>
                      <w:color w:val="333333"/>
                      <w:sz w:val="20"/>
                      <w:szCs w:val="20"/>
                    </w:rPr>
                    <w:t>This Program aims to introduce Advanced Financial Statement Analysis including analyzing cash flows and analyzing the financial statements using many practical cases.  It also includes evaluating new investments opportunities using the most popular evaluation methods</w:t>
                  </w:r>
                </w:p>
                <w:p w:rsidR="00BA7ECA" w:rsidRDefault="00BA7ECA">
                  <w:pPr>
                    <w:pStyle w:val="NormalWeb"/>
                  </w:pPr>
                  <w:r>
                    <w:rPr>
                      <w:rStyle w:val="Strong"/>
                      <w:rFonts w:ascii="Tahoma" w:hAnsi="Tahoma" w:cs="Tahoma"/>
                      <w:color w:val="037C97"/>
                      <w:sz w:val="20"/>
                      <w:szCs w:val="20"/>
                      <w:u w:val="single"/>
                    </w:rPr>
                    <w:t>Contents</w:t>
                  </w:r>
                  <w:r>
                    <w:rPr>
                      <w:rFonts w:ascii="Tahoma" w:hAnsi="Tahoma" w:cs="Tahoma"/>
                      <w:color w:val="037C97"/>
                      <w:sz w:val="20"/>
                      <w:szCs w:val="20"/>
                      <w:u w:val="single"/>
                    </w:rPr>
                    <w:t>:</w:t>
                  </w:r>
                </w:p>
                <w:p w:rsidR="00BA7ECA" w:rsidRDefault="00BA7ECA">
                  <w:pPr>
                    <w:numPr>
                      <w:ilvl w:val="0"/>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Day 1: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Analysis of cash flows.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Definition of cash and cash equivalents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Purposes of the cash flows statements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Preparation of cash flow statements (direct- indirect)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Interpretation and analysis of cash flows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Non cash transaction </w:t>
                  </w:r>
                </w:p>
                <w:p w:rsidR="00BA7ECA" w:rsidRDefault="00BA7ECA">
                  <w:pPr>
                    <w:numPr>
                      <w:ilvl w:val="1"/>
                      <w:numId w:val="1"/>
                    </w:numPr>
                    <w:spacing w:before="100" w:beforeAutospacing="1" w:after="100" w:afterAutospacing="1"/>
                    <w:rPr>
                      <w:rFonts w:eastAsia="Times New Roman"/>
                    </w:rPr>
                  </w:pPr>
                  <w:r>
                    <w:rPr>
                      <w:rFonts w:ascii="Tahoma" w:eastAsia="Times New Roman" w:hAnsi="Tahoma" w:cs="Tahoma"/>
                      <w:color w:val="333333"/>
                      <w:sz w:val="20"/>
                      <w:szCs w:val="20"/>
                    </w:rPr>
                    <w:t xml:space="preserve">Cash flows scenarios and practical cases </w:t>
                  </w:r>
                </w:p>
                <w:p w:rsidR="00BA7ECA" w:rsidRDefault="00BA7ECA">
                  <w:pPr>
                    <w:numPr>
                      <w:ilvl w:val="0"/>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Day 2:  </w:t>
                  </w:r>
                </w:p>
                <w:p w:rsidR="00BA7ECA" w:rsidRDefault="00BA7ECA">
                  <w:pPr>
                    <w:numPr>
                      <w:ilvl w:val="1"/>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Financial ratio analysis (1) </w:t>
                  </w:r>
                </w:p>
                <w:p w:rsidR="00BA7ECA" w:rsidRDefault="00BA7ECA">
                  <w:pPr>
                    <w:numPr>
                      <w:ilvl w:val="1"/>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Over view of the ratio analysis </w:t>
                  </w:r>
                </w:p>
                <w:p w:rsidR="00BA7ECA" w:rsidRDefault="00BA7ECA">
                  <w:pPr>
                    <w:numPr>
                      <w:ilvl w:val="1"/>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Definition and calculation of financial ratios </w:t>
                  </w:r>
                </w:p>
                <w:p w:rsidR="00BA7ECA" w:rsidRDefault="00BA7ECA">
                  <w:pPr>
                    <w:numPr>
                      <w:ilvl w:val="1"/>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Common size financial statements </w:t>
                  </w:r>
                </w:p>
                <w:p w:rsidR="00BA7ECA" w:rsidRDefault="00BA7ECA">
                  <w:pPr>
                    <w:numPr>
                      <w:ilvl w:val="1"/>
                      <w:numId w:val="2"/>
                    </w:numPr>
                    <w:spacing w:before="100" w:beforeAutospacing="1" w:after="100" w:afterAutospacing="1"/>
                    <w:rPr>
                      <w:rFonts w:eastAsia="Times New Roman"/>
                    </w:rPr>
                  </w:pPr>
                  <w:r>
                    <w:rPr>
                      <w:rFonts w:ascii="Tahoma" w:eastAsia="Times New Roman" w:hAnsi="Tahoma" w:cs="Tahoma"/>
                      <w:color w:val="333333"/>
                      <w:sz w:val="20"/>
                      <w:szCs w:val="20"/>
                    </w:rPr>
                    <w:t xml:space="preserve">Internal liquidity ratios </w:t>
                  </w:r>
                </w:p>
                <w:p w:rsidR="00BA7ECA" w:rsidRDefault="00BA7ECA">
                  <w:pPr>
                    <w:numPr>
                      <w:ilvl w:val="0"/>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Day 3:  </w:t>
                  </w:r>
                </w:p>
                <w:p w:rsidR="00BA7ECA" w:rsidRDefault="00BA7ECA">
                  <w:pPr>
                    <w:numPr>
                      <w:ilvl w:val="1"/>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Financial ratio analysis (2) </w:t>
                  </w:r>
                </w:p>
                <w:p w:rsidR="00BA7ECA" w:rsidRDefault="00BA7ECA">
                  <w:pPr>
                    <w:numPr>
                      <w:ilvl w:val="1"/>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Operating performance ratios (activity, profitability and solvency ratios) </w:t>
                  </w:r>
                </w:p>
                <w:p w:rsidR="00BA7ECA" w:rsidRDefault="00BA7ECA">
                  <w:pPr>
                    <w:numPr>
                      <w:ilvl w:val="1"/>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Analyzing return on equity </w:t>
                  </w:r>
                </w:p>
                <w:p w:rsidR="00BA7ECA" w:rsidRDefault="00BA7ECA">
                  <w:pPr>
                    <w:numPr>
                      <w:ilvl w:val="1"/>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Interpretation of financial ratios to provide basis of decision making for top management. </w:t>
                  </w:r>
                </w:p>
                <w:p w:rsidR="00BA7ECA" w:rsidRDefault="00BA7ECA">
                  <w:pPr>
                    <w:numPr>
                      <w:ilvl w:val="1"/>
                      <w:numId w:val="3"/>
                    </w:numPr>
                    <w:spacing w:before="100" w:beforeAutospacing="1" w:after="100" w:afterAutospacing="1"/>
                    <w:rPr>
                      <w:rFonts w:eastAsia="Times New Roman"/>
                    </w:rPr>
                  </w:pPr>
                  <w:r>
                    <w:rPr>
                      <w:rFonts w:ascii="Tahoma" w:eastAsia="Times New Roman" w:hAnsi="Tahoma" w:cs="Tahoma"/>
                      <w:color w:val="333333"/>
                      <w:sz w:val="20"/>
                      <w:szCs w:val="20"/>
                    </w:rPr>
                    <w:t xml:space="preserve">Limitations of financial ratios analysis </w:t>
                  </w:r>
                </w:p>
                <w:p w:rsidR="00BA7ECA" w:rsidRDefault="00BA7ECA">
                  <w:pPr>
                    <w:numPr>
                      <w:ilvl w:val="0"/>
                      <w:numId w:val="4"/>
                    </w:numPr>
                    <w:spacing w:before="100" w:beforeAutospacing="1" w:after="100" w:afterAutospacing="1"/>
                    <w:rPr>
                      <w:rFonts w:eastAsia="Times New Roman"/>
                    </w:rPr>
                  </w:pPr>
                  <w:r>
                    <w:rPr>
                      <w:rFonts w:ascii="Tahoma" w:eastAsia="Times New Roman" w:hAnsi="Tahoma" w:cs="Tahoma"/>
                      <w:color w:val="333333"/>
                      <w:sz w:val="20"/>
                      <w:szCs w:val="20"/>
                    </w:rPr>
                    <w:t xml:space="preserve">Day 4: </w:t>
                  </w:r>
                </w:p>
                <w:p w:rsidR="00BA7ECA" w:rsidRDefault="00BA7ECA">
                  <w:pPr>
                    <w:numPr>
                      <w:ilvl w:val="1"/>
                      <w:numId w:val="4"/>
                    </w:numPr>
                    <w:spacing w:before="100" w:beforeAutospacing="1" w:after="100" w:afterAutospacing="1"/>
                    <w:rPr>
                      <w:rFonts w:eastAsia="Times New Roman"/>
                    </w:rPr>
                  </w:pPr>
                  <w:r>
                    <w:rPr>
                      <w:rFonts w:ascii="Tahoma" w:eastAsia="Times New Roman" w:hAnsi="Tahoma" w:cs="Tahoma"/>
                      <w:color w:val="333333"/>
                      <w:sz w:val="20"/>
                      <w:szCs w:val="20"/>
                    </w:rPr>
                    <w:t xml:space="preserve">Implementation and Practical Cases (Group case </w:t>
                  </w:r>
                  <w:r>
                    <w:rPr>
                      <w:rFonts w:ascii="Tahoma" w:eastAsia="Times New Roman" w:hAnsi="Tahoma" w:cs="Tahoma"/>
                      <w:color w:val="333333"/>
                      <w:sz w:val="20"/>
                      <w:szCs w:val="20"/>
                    </w:rPr>
                    <w:lastRenderedPageBreak/>
                    <w:t>studies)</w:t>
                  </w:r>
                </w:p>
                <w:p w:rsidR="00BA7ECA" w:rsidRDefault="00BA7ECA">
                  <w:pPr>
                    <w:pStyle w:val="NormalWeb"/>
                  </w:pPr>
                  <w:r>
                    <w:rPr>
                      <w:rStyle w:val="Strong"/>
                      <w:rFonts w:ascii="Tahoma" w:hAnsi="Tahoma" w:cs="Tahoma"/>
                      <w:color w:val="037C97"/>
                      <w:sz w:val="20"/>
                      <w:szCs w:val="20"/>
                      <w:u w:val="single"/>
                    </w:rPr>
                    <w:t>Course target group</w:t>
                  </w:r>
                  <w:r>
                    <w:rPr>
                      <w:rFonts w:ascii="Tahoma" w:hAnsi="Tahoma" w:cs="Tahoma"/>
                      <w:color w:val="037C97"/>
                      <w:sz w:val="20"/>
                      <w:szCs w:val="20"/>
                    </w:rPr>
                    <w:t>:</w:t>
                  </w:r>
                </w:p>
                <w:p w:rsidR="00BA7ECA" w:rsidRDefault="00BA7ECA">
                  <w:pPr>
                    <w:numPr>
                      <w:ilvl w:val="0"/>
                      <w:numId w:val="5"/>
                    </w:numPr>
                    <w:spacing w:before="100" w:beforeAutospacing="1" w:after="100" w:afterAutospacing="1"/>
                    <w:rPr>
                      <w:rFonts w:eastAsia="Times New Roman"/>
                    </w:rPr>
                  </w:pPr>
                  <w:r>
                    <w:rPr>
                      <w:rFonts w:ascii="Tahoma" w:eastAsia="Times New Roman" w:hAnsi="Tahoma" w:cs="Tahoma"/>
                      <w:color w:val="333333"/>
                      <w:sz w:val="20"/>
                      <w:szCs w:val="20"/>
                    </w:rPr>
                    <w:t>Managers, Members of Board Directors, High Administration and All Levels of Responsibility in accounting and finance</w:t>
                  </w:r>
                </w:p>
                <w:p w:rsidR="00BA7ECA" w:rsidRDefault="00BA7ECA">
                  <w:pPr>
                    <w:numPr>
                      <w:ilvl w:val="0"/>
                      <w:numId w:val="5"/>
                    </w:numPr>
                    <w:spacing w:before="100" w:beforeAutospacing="1" w:after="100" w:afterAutospacing="1"/>
                    <w:rPr>
                      <w:rFonts w:eastAsia="Times New Roman"/>
                    </w:rPr>
                  </w:pPr>
                  <w:r>
                    <w:rPr>
                      <w:rFonts w:ascii="Tahoma" w:eastAsia="Times New Roman" w:hAnsi="Tahoma" w:cs="Tahoma"/>
                      <w:color w:val="333333"/>
                      <w:sz w:val="20"/>
                      <w:szCs w:val="20"/>
                    </w:rPr>
                    <w:t>All Administrative Staff who are Responsible of Taking Financial Decisions</w:t>
                  </w:r>
                </w:p>
              </w:tc>
            </w:tr>
            <w:tr w:rsidR="00BA7ECA">
              <w:trPr>
                <w:tblCellSpacing w:w="0" w:type="dxa"/>
              </w:trPr>
              <w:tc>
                <w:tcPr>
                  <w:tcW w:w="0" w:type="auto"/>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128"/>
                    <w:gridCol w:w="3218"/>
                  </w:tblGrid>
                  <w:tr w:rsidR="00BA7ECA">
                    <w:trPr>
                      <w:trHeight w:val="600"/>
                      <w:tblCellSpacing w:w="0" w:type="dxa"/>
                    </w:trPr>
                    <w:tc>
                      <w:tcPr>
                        <w:tcW w:w="0" w:type="auto"/>
                        <w:shd w:val="clear" w:color="auto" w:fill="037C97"/>
                        <w:vAlign w:val="center"/>
                        <w:hideMark/>
                      </w:tcPr>
                      <w:p w:rsidR="00BA7ECA" w:rsidRDefault="00BA7ECA">
                        <w:pPr>
                          <w:jc w:val="center"/>
                        </w:pPr>
                        <w:hyperlink r:id="rId12" w:history="1">
                          <w:r>
                            <w:rPr>
                              <w:rStyle w:val="Strong"/>
                              <w:rFonts w:ascii="Tahoma" w:hAnsi="Tahoma" w:cs="Tahoma"/>
                              <w:color w:val="FFFFFF"/>
                              <w:u w:val="single"/>
                            </w:rPr>
                            <w:t>English Outline</w:t>
                          </w:r>
                        </w:hyperlink>
                      </w:p>
                    </w:tc>
                    <w:tc>
                      <w:tcPr>
                        <w:tcW w:w="0" w:type="auto"/>
                        <w:shd w:val="clear" w:color="auto" w:fill="037C97"/>
                        <w:vAlign w:val="center"/>
                        <w:hideMark/>
                      </w:tcPr>
                      <w:p w:rsidR="00BA7ECA" w:rsidRDefault="00BA7ECA">
                        <w:pPr>
                          <w:jc w:val="center"/>
                        </w:pPr>
                        <w:hyperlink r:id="rId13" w:history="1">
                          <w:r>
                            <w:rPr>
                              <w:rStyle w:val="Strong"/>
                              <w:rFonts w:ascii="Tahoma" w:hAnsi="Tahoma" w:cs="Tahoma"/>
                              <w:color w:val="FFFFFF"/>
                              <w:u w:val="single"/>
                              <w:rtl/>
                            </w:rPr>
                            <w:t>محتويات البرنامج</w:t>
                          </w:r>
                        </w:hyperlink>
                      </w:p>
                    </w:tc>
                  </w:tr>
                </w:tbl>
                <w:p w:rsidR="00BA7ECA" w:rsidRDefault="00BA7ECA">
                  <w:pPr>
                    <w:rPr>
                      <w:rFonts w:eastAsia="Times New Roman"/>
                      <w:sz w:val="20"/>
                      <w:szCs w:val="20"/>
                    </w:rPr>
                  </w:pPr>
                </w:p>
              </w:tc>
            </w:tr>
          </w:tbl>
          <w:p w:rsidR="00BA7ECA" w:rsidRDefault="00BA7ECA">
            <w:pPr>
              <w:rPr>
                <w:rFonts w:eastAsia="Times New Roman"/>
                <w:sz w:val="20"/>
                <w:szCs w:val="20"/>
              </w:rPr>
            </w:pPr>
          </w:p>
        </w:tc>
      </w:tr>
      <w:tr w:rsidR="00BA7ECA" w:rsidTr="00BA7ECA">
        <w:trPr>
          <w:tblCellSpacing w:w="0" w:type="dxa"/>
        </w:trPr>
        <w:tc>
          <w:tcPr>
            <w:tcW w:w="0" w:type="auto"/>
            <w:gridSpan w:val="2"/>
            <w:shd w:val="clear" w:color="auto" w:fill="037C97"/>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7582"/>
              <w:gridCol w:w="1778"/>
            </w:tblGrid>
            <w:tr w:rsidR="00BA7ECA">
              <w:trPr>
                <w:tblCellSpacing w:w="0" w:type="dxa"/>
              </w:trPr>
              <w:tc>
                <w:tcPr>
                  <w:tcW w:w="4050" w:type="pct"/>
                  <w:vAlign w:val="center"/>
                  <w:hideMark/>
                </w:tcPr>
                <w:p w:rsidR="00BA7ECA" w:rsidRDefault="00BA7ECA">
                  <w:r>
                    <w:rPr>
                      <w:noProof/>
                      <w:color w:val="0000FF"/>
                    </w:rPr>
                    <w:lastRenderedPageBreak/>
                    <w:drawing>
                      <wp:inline distT="0" distB="0" distL="0" distR="0">
                        <wp:extent cx="3172460" cy="222885"/>
                        <wp:effectExtent l="0" t="0" r="8890" b="5715"/>
                        <wp:docPr id="5" name="Picture 5" descr="http://www.MOTHERBOARDTESTS.INFO/alpine/Foo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THERBOARDTESTS.INFO/alpine/Foo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2460" cy="222885"/>
                                </a:xfrm>
                                <a:prstGeom prst="rect">
                                  <a:avLst/>
                                </a:prstGeom>
                                <a:noFill/>
                                <a:ln>
                                  <a:noFill/>
                                </a:ln>
                              </pic:spPr>
                            </pic:pic>
                          </a:graphicData>
                        </a:graphic>
                      </wp:inline>
                    </w:drawing>
                  </w:r>
                </w:p>
              </w:tc>
              <w:tc>
                <w:tcPr>
                  <w:tcW w:w="950" w:type="pct"/>
                  <w:vAlign w:val="center"/>
                  <w:hideMark/>
                </w:tcPr>
                <w:tbl>
                  <w:tblPr>
                    <w:tblpPr w:leftFromText="45" w:rightFromText="45" w:vertAnchor="text" w:tblpXSpec="right" w:tblpYSpec="center"/>
                    <w:tblW w:w="500" w:type="pct"/>
                    <w:tblCellSpacing w:w="15" w:type="dxa"/>
                    <w:tblCellMar>
                      <w:left w:w="0" w:type="dxa"/>
                      <w:right w:w="0" w:type="dxa"/>
                    </w:tblCellMar>
                    <w:tblLook w:val="04A0" w:firstRow="1" w:lastRow="0" w:firstColumn="1" w:lastColumn="0" w:noHBand="0" w:noVBand="1"/>
                  </w:tblPr>
                  <w:tblGrid>
                    <w:gridCol w:w="345"/>
                    <w:gridCol w:w="330"/>
                    <w:gridCol w:w="330"/>
                    <w:gridCol w:w="345"/>
                  </w:tblGrid>
                  <w:tr w:rsidR="00BA7ECA">
                    <w:trPr>
                      <w:tblCellSpacing w:w="15" w:type="dxa"/>
                    </w:trPr>
                    <w:tc>
                      <w:tcPr>
                        <w:tcW w:w="0" w:type="auto"/>
                        <w:tcMar>
                          <w:top w:w="30" w:type="dxa"/>
                          <w:left w:w="30" w:type="dxa"/>
                          <w:bottom w:w="30" w:type="dxa"/>
                          <w:right w:w="30" w:type="dxa"/>
                        </w:tcMar>
                        <w:vAlign w:val="center"/>
                        <w:hideMark/>
                      </w:tcPr>
                      <w:p w:rsidR="00BA7ECA" w:rsidRDefault="00BA7ECA">
                        <w:r>
                          <w:rPr>
                            <w:noProof/>
                            <w:color w:val="0000FF"/>
                          </w:rPr>
                          <w:drawing>
                            <wp:inline distT="0" distB="0" distL="0" distR="0">
                              <wp:extent cx="151130" cy="151130"/>
                              <wp:effectExtent l="0" t="0" r="1270" b="1270"/>
                              <wp:docPr id="4" name="Picture 4" descr="http://www.MOTHERBOARDTESTS.INFO/alpine/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THERBOARDTESTS.INFO/alpine/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BA7ECA" w:rsidRDefault="00BA7ECA">
                        <w:r>
                          <w:rPr>
                            <w:noProof/>
                            <w:color w:val="0000FF"/>
                          </w:rPr>
                          <w:drawing>
                            <wp:inline distT="0" distB="0" distL="0" distR="0">
                              <wp:extent cx="151130" cy="151130"/>
                              <wp:effectExtent l="0" t="0" r="1270" b="1270"/>
                              <wp:docPr id="3" name="Picture 3" descr="http://www.MOTHERBOARDTESTS.INFO/alpine/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THERBOARDTESTS.INFO/alpine/linked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BA7ECA" w:rsidRDefault="00BA7ECA">
                        <w:r>
                          <w:rPr>
                            <w:noProof/>
                            <w:color w:val="0000FF"/>
                          </w:rPr>
                          <w:drawing>
                            <wp:inline distT="0" distB="0" distL="0" distR="0">
                              <wp:extent cx="151130" cy="151130"/>
                              <wp:effectExtent l="0" t="0" r="1270" b="1270"/>
                              <wp:docPr id="2" name="Picture 2" descr="http://www.MOTHERBOARDTESTS.INFO/alpine/twitte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THERBOARDTESTS.INFO/alpine/twitt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BA7ECA" w:rsidRDefault="00BA7ECA">
                        <w:r>
                          <w:rPr>
                            <w:noProof/>
                            <w:color w:val="0000FF"/>
                          </w:rPr>
                          <w:drawing>
                            <wp:inline distT="0" distB="0" distL="0" distR="0">
                              <wp:extent cx="151130" cy="151130"/>
                              <wp:effectExtent l="0" t="0" r="1270" b="1270"/>
                              <wp:docPr id="1" name="Picture 1" descr="http://www.MOTHERBOARDTESTS.INFO/alpine/youtube.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THERBOARDTESTS.INFO/alpine/youtub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rsidR="00BA7ECA" w:rsidRDefault="00BA7ECA">
                  <w:pPr>
                    <w:rPr>
                      <w:rFonts w:eastAsia="Times New Roman"/>
                      <w:sz w:val="20"/>
                      <w:szCs w:val="20"/>
                    </w:rPr>
                  </w:pPr>
                </w:p>
              </w:tc>
            </w:tr>
          </w:tbl>
          <w:p w:rsidR="00BA7ECA" w:rsidRDefault="00BA7ECA">
            <w:pPr>
              <w:rPr>
                <w:rFonts w:eastAsia="Times New Roman"/>
                <w:sz w:val="20"/>
                <w:szCs w:val="20"/>
              </w:rPr>
            </w:pPr>
          </w:p>
        </w:tc>
      </w:tr>
    </w:tbl>
    <w:p w:rsidR="00D1224C" w:rsidRPr="00BA7ECA" w:rsidRDefault="00D1224C" w:rsidP="00BA7ECA"/>
    <w:sectPr w:rsidR="00D1224C" w:rsidRPr="00BA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299A"/>
    <w:multiLevelType w:val="multilevel"/>
    <w:tmpl w:val="7D8E0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99C5D4E"/>
    <w:multiLevelType w:val="multilevel"/>
    <w:tmpl w:val="6D42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D401088"/>
    <w:multiLevelType w:val="multilevel"/>
    <w:tmpl w:val="BD808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12C4208"/>
    <w:multiLevelType w:val="multilevel"/>
    <w:tmpl w:val="F2A4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67730BD"/>
    <w:multiLevelType w:val="multilevel"/>
    <w:tmpl w:val="E346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E3"/>
    <w:rsid w:val="002801E3"/>
    <w:rsid w:val="00A22946"/>
    <w:rsid w:val="00BA7ECA"/>
    <w:rsid w:val="00C834B2"/>
    <w:rsid w:val="00D12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C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BA7E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ECA"/>
    <w:rPr>
      <w:rFonts w:ascii="Times New Roman" w:hAnsi="Times New Roman" w:cs="Times New Roman"/>
      <w:b/>
      <w:bCs/>
      <w:sz w:val="27"/>
      <w:szCs w:val="27"/>
    </w:rPr>
  </w:style>
  <w:style w:type="character" w:styleId="Hyperlink">
    <w:name w:val="Hyperlink"/>
    <w:basedOn w:val="DefaultParagraphFont"/>
    <w:uiPriority w:val="99"/>
    <w:semiHidden/>
    <w:unhideWhenUsed/>
    <w:rsid w:val="00BA7ECA"/>
    <w:rPr>
      <w:color w:val="0000FF"/>
      <w:u w:val="single"/>
    </w:rPr>
  </w:style>
  <w:style w:type="paragraph" w:styleId="NormalWeb">
    <w:name w:val="Normal (Web)"/>
    <w:basedOn w:val="Normal"/>
    <w:uiPriority w:val="99"/>
    <w:semiHidden/>
    <w:unhideWhenUsed/>
    <w:rsid w:val="00BA7ECA"/>
    <w:pPr>
      <w:spacing w:before="100" w:beforeAutospacing="1" w:after="100" w:afterAutospacing="1"/>
    </w:pPr>
  </w:style>
  <w:style w:type="character" w:styleId="Strong">
    <w:name w:val="Strong"/>
    <w:basedOn w:val="DefaultParagraphFont"/>
    <w:uiPriority w:val="22"/>
    <w:qFormat/>
    <w:rsid w:val="00BA7ECA"/>
    <w:rPr>
      <w:b/>
      <w:bCs/>
    </w:rPr>
  </w:style>
  <w:style w:type="paragraph" w:styleId="BalloonText">
    <w:name w:val="Balloon Text"/>
    <w:basedOn w:val="Normal"/>
    <w:link w:val="BalloonTextChar"/>
    <w:uiPriority w:val="99"/>
    <w:semiHidden/>
    <w:unhideWhenUsed/>
    <w:rsid w:val="00BA7ECA"/>
    <w:rPr>
      <w:rFonts w:ascii="Tahoma" w:hAnsi="Tahoma" w:cs="Tahoma"/>
      <w:sz w:val="16"/>
      <w:szCs w:val="16"/>
    </w:rPr>
  </w:style>
  <w:style w:type="character" w:customStyle="1" w:styleId="BalloonTextChar">
    <w:name w:val="Balloon Text Char"/>
    <w:basedOn w:val="DefaultParagraphFont"/>
    <w:link w:val="BalloonText"/>
    <w:uiPriority w:val="99"/>
    <w:semiHidden/>
    <w:rsid w:val="00BA7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C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BA7EC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ECA"/>
    <w:rPr>
      <w:rFonts w:ascii="Times New Roman" w:hAnsi="Times New Roman" w:cs="Times New Roman"/>
      <w:b/>
      <w:bCs/>
      <w:sz w:val="27"/>
      <w:szCs w:val="27"/>
    </w:rPr>
  </w:style>
  <w:style w:type="character" w:styleId="Hyperlink">
    <w:name w:val="Hyperlink"/>
    <w:basedOn w:val="DefaultParagraphFont"/>
    <w:uiPriority w:val="99"/>
    <w:semiHidden/>
    <w:unhideWhenUsed/>
    <w:rsid w:val="00BA7ECA"/>
    <w:rPr>
      <w:color w:val="0000FF"/>
      <w:u w:val="single"/>
    </w:rPr>
  </w:style>
  <w:style w:type="paragraph" w:styleId="NormalWeb">
    <w:name w:val="Normal (Web)"/>
    <w:basedOn w:val="Normal"/>
    <w:uiPriority w:val="99"/>
    <w:semiHidden/>
    <w:unhideWhenUsed/>
    <w:rsid w:val="00BA7ECA"/>
    <w:pPr>
      <w:spacing w:before="100" w:beforeAutospacing="1" w:after="100" w:afterAutospacing="1"/>
    </w:pPr>
  </w:style>
  <w:style w:type="character" w:styleId="Strong">
    <w:name w:val="Strong"/>
    <w:basedOn w:val="DefaultParagraphFont"/>
    <w:uiPriority w:val="22"/>
    <w:qFormat/>
    <w:rsid w:val="00BA7ECA"/>
    <w:rPr>
      <w:b/>
      <w:bCs/>
    </w:rPr>
  </w:style>
  <w:style w:type="paragraph" w:styleId="BalloonText">
    <w:name w:val="Balloon Text"/>
    <w:basedOn w:val="Normal"/>
    <w:link w:val="BalloonTextChar"/>
    <w:uiPriority w:val="99"/>
    <w:semiHidden/>
    <w:unhideWhenUsed/>
    <w:rsid w:val="00BA7ECA"/>
    <w:rPr>
      <w:rFonts w:ascii="Tahoma" w:hAnsi="Tahoma" w:cs="Tahoma"/>
      <w:sz w:val="16"/>
      <w:szCs w:val="16"/>
    </w:rPr>
  </w:style>
  <w:style w:type="character" w:customStyle="1" w:styleId="BalloonTextChar">
    <w:name w:val="Balloon Text Char"/>
    <w:basedOn w:val="DefaultParagraphFont"/>
    <w:link w:val="BalloonText"/>
    <w:uiPriority w:val="99"/>
    <w:semiHidden/>
    <w:rsid w:val="00BA7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HERBOARDTESTS.INFO/alpine/caraudio.asp?Ywom=1&amp;Esbo7=43&amp;CID=9999&amp;I=5541293&amp;id=1200" TargetMode="External"/><Relationship Id="rId13" Type="http://schemas.openxmlformats.org/officeDocument/2006/relationships/hyperlink" Target="http://www.MOTHERBOARDTESTS.INFO/alpine/caraudio.asp?Ywom=1&amp;Esbo7=43&amp;CID=9999&amp;I=5541293&amp;id=6090" TargetMode="External"/><Relationship Id="rId18" Type="http://schemas.openxmlformats.org/officeDocument/2006/relationships/hyperlink" Target="http://www.motherboardtests.info/alpine/caraudio.asp?Ywom=1&amp;Esbo7=43&amp;CID=9999&amp;I=5541293&amp;id=3"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hyperlink" Target="http://www.MOTHERBOARDTESTS.INFO/alpine/caraudio.asp?Ywom=1&amp;Esbo7=43&amp;CID=9999&amp;I=5541293&amp;id=1100" TargetMode="External"/><Relationship Id="rId12" Type="http://schemas.openxmlformats.org/officeDocument/2006/relationships/hyperlink" Target="http://www.MOTHERBOARDTESTS.INFO/alpine/caraudio.asp?Ywom=1&amp;Esbo7=43&amp;CID=9999&amp;I=5541293&amp;id=508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otherboardtests.info/alpine/caraudio.asp?Ywom=1&amp;Esbo7=43&amp;CID=9999&amp;I=5541293&amp;id=2" TargetMode="External"/><Relationship Id="rId20" Type="http://schemas.openxmlformats.org/officeDocument/2006/relationships/hyperlink" Target="http://www.motherboardtests.info/alpine/caraudio.asp?Ywom=1&amp;Esbo7=43&amp;CID=9999&amp;I=5541293&amp;id=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OTHERBOARDTESTS.INFO/alpine/caraudio.asp?Ywom=1&amp;Esbo7=43&amp;CID=9999&amp;I=5541293&amp;id=15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yperlink" Target="http://www.MOTHERBOARDTESTS.INFO/alpine/caraudio.asp?Ywom=1&amp;Esbo7=43&amp;CID=9999&amp;I=5541293&amp;id=140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OTHERBOARDTESTS.INFO/alpine/caraudio.asp?Ywom=1&amp;Esbo7=43&amp;CID=9999&amp;I=5541293&amp;id=1300" TargetMode="External"/><Relationship Id="rId14" Type="http://schemas.openxmlformats.org/officeDocument/2006/relationships/hyperlink" Target="http://www.motherboardtests.info/alpine/caraudio.asp?Ywom=1&amp;Esbo7=43&amp;CID=9999&amp;I=5541293&amp;id=1" TargetMode="External"/><Relationship Id="rId22" Type="http://schemas.openxmlformats.org/officeDocument/2006/relationships/hyperlink" Target="http://www.motherboardtests.info/alpine/caraudio.asp?Ywom=1&amp;Esbo7=43&amp;CID=9999&amp;I=5541293&amp;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5</cp:revision>
  <dcterms:created xsi:type="dcterms:W3CDTF">2012-10-31T12:17:00Z</dcterms:created>
  <dcterms:modified xsi:type="dcterms:W3CDTF">2012-11-01T08:17:00Z</dcterms:modified>
</cp:coreProperties>
</file>